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218 vom 8. Mai 1992</w:t>
      </w:r>
    </w:p>
    <w:p>
      <w:r>
        <w:t>Bundesgericht (BGE), 1992-05-08, DE</w:t>
      </w:r>
    </w:p>
    <w:p>
      <w:r>
        <w:rPr>
          <w:b/>
        </w:rPr>
        <w:t xml:space="preserve">Quelle: </w:t>
      </w:r>
      <w:r>
        <w:t>https://mcp.opencaselaw.ch/entscheid/bge_118 IA 218</w:t>
      </w:r>
    </w:p>
    <w:p>
      <w:r>
        <w:t>FR: BGE 118 IA 218 du 8 mai 1992</w:t>
      </w:r>
    </w:p>
    <w:p>
      <w:r>
        <w:t>IT: BGE 118 IA 218 del 8 maggio 1992</w:t>
      </w:r>
    </w:p>
    <w:p>
      <w:pPr>
        <w:pStyle w:val="Heading2"/>
      </w:pPr>
      <w:r>
        <w:t>Regeste</w:t>
      </w:r>
    </w:p>
    <w:p>
      <w:r>
        <w:t>Regeste Gemeindeautonomie bei vorzeitiger Einschulung im Kanton Graubünden. 1. Voraussetzungen, unter denen ein Entscheidungsspielraum, den das kantonale Recht einer Gemeinde einräumt, relativ erheblich ist und deshalb Autonomie zu begründen vermag (E. 3a und E. 3d). 2. Im Kanton Graubünden besteht bei der vorzeitigen Einschulung keine Gemeindeautonomie (E. 3e).</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117 Ia 355 E. 4a mit Hinweisen). Ob und wieweit eine Gemeinde in einem bestimmten Bereich autonom ist, richtet sich nach dem kantonalen Verfassungs- und Gesetzesrecht. Ein geschützter kommunaler Autonomiebereich kann auch bei der Anwendung kantonalen Rechtes vorliegen, wenn dieses der Gemeinde eine relativ erhebliche Entscheidungsfreiheit belässt ( BGE 115 Ia 44 E. 3, BGE 110 Ia 199 E. 2a, BGE 103 Ia 488 E. 2; ULRICH ZIMMERLI, Die neuere bundesgerichtliche Rechtsprechung zur Gemeindeautonomie, in: ZBl 73/1972 S. 269 ff.). Der Schutz der Autonomie setzt eine solche nicht in einem ganzen Aufgabengebiet, sondern lediglich im streitigen BGE 118 Ia 218 S. 220 Bereich voraus; ihr Vorliegen ist von Fall zu Fall differenzierend zu prüfen ( BGE 115 Ia 44 E. 3 mit Hinweisen). Besteht in diesem Sinn Autonomie, kann sich die Gemeinde mit staatsrechtlicher Beschwerde dagegen zur Wehr setzen, dass eine kantonale Behörde im Rechtsmittelverfahren ihre Prüfungsbefugnis überschreitet oder die den betreffenden Sachbereich ordnenden kommunalen, kantonalen oder bundesrechtlichen Normen falsch anwendet. Soweit nicht die Handhabung von eidgenössischem oder kantonalem Verfassungsrecht in Frage steht, prüft das Bundesgericht den Entscheid der kantonalen Behörde aber nur unter dem Gesichtswinkel der Willkür ( BGE 115 Ia 46 E. 3c, BGE 114 Ia 372 E. 2a, je mit Hinweisen). b) Gemäss Art. 40 der Verfassung vom 2. Oktober 1892 für den Kanton Graubünden (KV; SR 131.226) steht jeder Gemeinde das Recht zur "selbständigen Gemeindeverwaltung" zu (Abs. 2), sie hat "für gute Verwaltung ihrer Gemeindeangelegenheiten, namentlich auch für das Schulwesen und die Sozialhilfe zu sorgen, soweit diese nicht Sache der Bürgergemeinde und des Kantons ist" (Abs. 3). Art. 4 des Gemeindegesetzes nennt die "Schule" ausdrücklich (lit. a) als ein Gebiet der öffentlichen Verwaltung, das unter Vorbehalt der Zuständigkeit des Bundes und des Kantons zum Aufgabenbereich der Gemeinde gehört. Art. 2 des Gesetzes für die Volksschulen des Kantons Graubünden vom 19. November 1961 (SchG; BR 421.000) bezeichnet die Gemeinden oder Gemeindeverbände als Träger der öffentlichen Volksschulen; sie haben einen Schulrat zu bestellen, dem die Leitung und Beaufsichtigung der Schule obliegt (Art. 61 SchG). Jedes im Kanton wohnhafte bildungsfähige Kind, das bis zum 31. Dezember das siebte Altersjahr erfüllt haben wird, ist mit Beginn des Schuljahres zum Besuch der Primarschule verpflichtet (Art. 7 Abs. 1 SchG). Art. 7 Abs. 2 und 3 des Schulgesetzes regeln die Einschulung wie folgt: "Der Schulrat kann, unter schriftlicher Mitteilung an das Erziehungsdepartement, Kinder vorzeitig zum Schulbesuch zulassen oder in der Schulpflicht zurückstellen. Voraussetzungen und Verfahren regelt die Vollziehungsverordnung." Die vom Grossen Rat am 31. Mai 1961 erlassene Vollziehungsverordnung zum Schulgesetz (VVO; BR 421.010) führt diese Regelung, was den vorzeitigen Schuleintritt betrifft, in Art. 2 näher aus: "Der Schulrat kann die Bewilligung zum vorzeitigen Schuleintritt auf Gesuch hin erteilen, wenn ein ärztliches oder ein schulpsychologisches BGE 118 Ia 218 S. 221 Gutachten bescheinigen, dass das Kind körperlich und geistig gut entwickelt ist und gegen seine Zulassung zur Schule keine Bedenken bestehen." c) Die Beschwerdeführerin beruft sich auf dem Hintergrund von Art. 40 KV und Art. 4 lit. a des Gemeindegesetzes auf die beiden wiedergegebenen Bestimmungen des Schulgesetzes sowie der dazugehörigen Verordnung und erblickt im Ermessensspielraum, der dem Schulrat nach diesen Vorschriften beim Entscheid über die vorzeitige Einschulung offenstehe, einen geschützten Bereich kommunaler Autonomie. Indem das Erziehungsdepartement als Beschwerdeinstanz die vorzeitige Einschulung entgegen der Auffassung des kommunalen Schulrates bewilligt habe, habe es die Gemeinde in ihrer Autonomie verletzt, zumal der Entscheid der Schulbehörde vertretbar gewesen sei. Der Beschluss des Departementes sei sachlich unhaltbar und willkürlich. Er berücksichtige völlig einseitig die Interessen des Kindes und lasse die besonderen Probleme ausser acht, welche die Einschulung deutschsprachiger Kinder in die in romanischer Sprache geführte Primarschule der Gemeinde X. mit sich bringe. Die Gemeinde unternehme grosse Anstrengungen zur Erhaltung des Romanischen und führe u.a. einen Sprachförderungsunterricht für Kinder im Vorschulalter. Bei einem vorzeitigen Schuleintritt deutschsprachiger Kinder sei der erforderliche Einzelförderungsunterricht wegen der Überlastung der Primarschul-Lehrkräfte nicht mehr gewährleistet; die übrigen Schüler würden in ihrem schulischen Fortkommen behindert. d) Diese Einwendungen der Gemeinde haben sachlich ein gewisses Gewicht, wie auch die Regierung in ihrem Entscheid zugesteht, wenn sie ausführt, dass entgegen der Ansicht des Erziehungs-, Kultur- und Umweltschutzdepartementes "Sprachprobleme dem Grundsatze nach sehr wohl Bedenken gegen eine vorzeitige Einschulung auslösen, gehört doch die sprachliche Verständigung zur Grundvoraussetzung für eine einwandfreie Vermittlung des Lernstoffes in einer normalen Grundschule"; jedenfalls könne nicht völlig ausgeschlossen werden, "dass mangelhafte Romanischkenntnisse in einer romanisch geführten Schule zu schulischen Problemen" führten. Für eine materielle Überprüfung der angefochtenen kantonalen Entscheide durch das Bundesgericht besteht nach dem Gesagten jedoch erst Raum, wenn diese die Gemeinde in einem geschützten Autonomiebereich treffen. Nicht jede Entscheidungsfreiheit begründet zugunsten der Gemeinde schutzwürdige Autonomie. Ob die der Gemeinde gewährte Freiheit in einem bestimmten Bereich "relativ BGE 118 Ia 218 S. 222 erheblich" ist, ergibt sich aus ihrer Bedeutung für den Sinn der kommunalen Selbständigkeit, d.h. daraus, ob nach der kantonalen Gesetzgebung durch die kommunale Gestaltung unter anderem mehr Demokratie und Rechtsstaatlichkeit sowie eine bessere und sinnvollere Aufgabenerfüllung auf lokaler Ebene ermöglicht werden sollen (vgl. BGE 116 Ia 287 E. 3a; nicht veröffentlichtes Urteil des Bundesgerichts vom 13. Juni 1989 i.S. Politische Gemeinde Altstätten u. Mitb. c. Grossen Rat des Kantons St. Gallen, E. 2b; THOMAS PFISTERER, Die neuere Entwicklung der Gemeindeautonomie, insbesondere im Kanton Aargau, in: ZBJV 125/1989 S. 18 ff.; THOMAS PFISTERER, Die verfassungsrechtliche Stellung der aargauischen Gemeinden bei der Erfüllung der öffentlichen Aufgaben, St. Gallen 1983, S. 249 ff., insbes. 255-257; vgl. auch BGE 115 Ib 305 E. 4). Enthält ein kantonales Gesetz, das in erster Instanz von der Gemeindebehörde anzuwenden ist, einen unbestimmten Rechtsbegriff, so genügt dies allein noch nicht für die Annahme, dass die Gemeinde bei der Anwendung dieses Begriffes auch autonom sei ( BGE 100 Ia 275 E. 6). e) Den Bündner Gemeinden steht im Schulbereich Autonomie nur in den Schranken der kantonalen Gesetzgebung zu (Art. 40 Abs. 3 KV); diese regelt den vorzeitigen Schuleintritt abschliessend. Zwar lassen das Schulgesetz und die dazugehörige Verordnung der erstinstanzlich zuständigen kommunalen Schulbehörde einen gewissen Entscheidungsspielraum, indem der Schulrat einen vorzeitigen Schuleintritt erlauben kann und die hierbei zu beachtenden Voraussetzungen als unbestimmte Rechtsbegriffe formuliert sind, doch tun sie dies, was sich aus der Natur der genannten Kriterien ergibt, nicht in erster Linie, um einer allfälligen Verschiedenheit der Bedürfnisse und Verhältnisse in den einzelnen Gemeinden und damit lokalen oder organisatorischen Anliegen Rechnung zu tragen, sondern um allgemein in jedem Einzelfall eine pädagogisch sachgerechte Entscheidung zu ermöglichen. Das in der Bündner Schulgesetzgebung dem kommunalen Schulrat eingeräumte Ermessen ist damit nicht "gemeindefreiheitsbezogen"(vgl. zu diesem Begriff: THOMAS PFISTERER, a.a.O., in: ZBJV 125/1989 S. 19) und stellt deshalb qualitativ keinen autonomiebegründenden Spielraum dar. Wenn der Schulrat gemäss Art. 2 VVO neben den im Vordergrund stehenden "kindbezogenen" Voraussetzungen (körperliche und geistige Entwicklung) auch berücksichtigen kann, ob gegen die "Zulassung zur Schule (...) Bedenken bestehen", und somit gewisse organisatorische oder sonstige äussere Gegebenheiten, welche einer erfolgreichen Einschulung allenfalls entgegenstehen, den BGE 118 Ia 218 S. 223 Bewilligungsentscheid beeinflussen können, vermag dieser indirekte Zusammenhang mit den örtlichen Verhältnissen für sich allein doch noch keinen geschützten Autonomiebereich zu begründen. Der Gemeinde ist zuzugeben, dass sie durch Entscheide kantonaler Rechtsmittelinstanzen, welche Gesuche um vorzeitige Einschulung in Verletzung der massgebenden kantonalen Vorschriften bewilligen, wegen der unter Umständen damit verbundenen Störung oder Erschwerung des Schulbetriebes in ihren eigenen kommunalen Interessen beeinträchtigt wird. Solche Konflikte können indessen überall auftreten, wo die Gemeinde der Entscheidungsgewalt von übergeordneten Instanzen unterworfen ist. Der Schutz der Autonomie greift aber erst dann Platz, wenn die beanstandete kantonale Anordnung die Gemeinde in einem Bereich trifft, wo ihr das kantonale Recht einen im Hinblick auf ihre Rolle im Gemeinwesen und den damit verbundenen Zweck der Gemeindeautonomie erheblichen Spielraum selbständiger Gestaltung einräumt; dies ist nach dem Gesagten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